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Arial" w:hAnsi="Arial" w:eastAsia="SimSun" w:cs="Arial"/>
          <w:sz w:val="24"/>
          <w:szCs w:val="24"/>
          <w:lang w:val="fr-FR"/>
        </w:rPr>
      </w:pPr>
      <w:r>
        <w:rPr>
          <w:rFonts w:hint="default" w:ascii="Arial" w:hAnsi="Arial" w:eastAsia="SimSun" w:cs="Arial"/>
          <w:sz w:val="24"/>
          <w:szCs w:val="24"/>
          <w:lang w:val="fr-FR"/>
        </w:rPr>
        <w:t>LE DOSSIER DE CONCERTATION JUSTIFIE UN PEAGE ENTRE BORDEAUX ET ARCACHON EN APPLICATION DU PRINCIPE D’EGALITE DEVANT LE PEAGE : INFO OU INTOX ?</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 xml:space="preserve">Dans l’option recours à la concession, il est dit que </w:t>
      </w:r>
      <w:r>
        <w:rPr>
          <w:rFonts w:hint="default" w:ascii="Arial" w:hAnsi="Arial" w:eastAsia="SimSun" w:cs="Arial"/>
          <w:sz w:val="24"/>
          <w:szCs w:val="24"/>
        </w:rPr>
        <w:t>le principe d’égalité de l’usager devant le péage ne permet pas la gratuité, sauf exception.</w:t>
      </w:r>
      <w:r>
        <w:rPr>
          <w:rFonts w:hint="default" w:ascii="Arial" w:hAnsi="Arial" w:eastAsia="SimSun" w:cs="Arial"/>
          <w:sz w:val="24"/>
          <w:szCs w:val="24"/>
          <w:lang w:val="fr-FR"/>
        </w:rPr>
        <w:t xml:space="preserve"> Il est ainsi envisagé des portiques de péage à chaque extrémité et entre chaque échangeur pour que l’usager paye selon la distance réellement parcourue. </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 xml:space="preserve">Ce qui est choquant, c’est que le même principe d’égalité ne produit pas les mêmes effets selon les voies sur lesquelles il s’appliquent et selon le moment où la concession a été mise en place. Ainsi, les usagers de l’autoroute A10 au nord de Bordeaux empruntent depuis de nombreuses années une voie concédée entre St André de Cubzac et Lormont sans acquitter aucun péage. Pourtant, c’est bien le concessionnaire qui a pris en charge les travaux de mise à 2x3 voies et le doublement du viaduc sur le Dordogne. Cette section a été «adossée» à la concession de l’A10 entre Poitiers et St André de Cubzac au début des années 2000. On nous dit que le système d’adossement n’est administrativement et juridiquement plus possible. Il n’empêche que le principe d’égalité ne sera pas respecté entre les usagers de cette voie et ceux de l’A63 selon le projet présenté. </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 xml:space="preserve">La mise aux normes autoroutières de la N10 devenue A63 dans les Landes et son élargissement à 2x3 voies y compris sur une section existante en Gironde ont été réalisés par recours à la concession. Il n’y a pas eu «adossement» à une concession existante, c’est vrai. Mais le système retenu ne respectait pas non plus le fameux principe d’égalité qui est présenté maintenant comme constitutionnellement incontournable. De nombreux usagers locaux peuvent circuler librement sur les sections situées entre les barrières de péage. Les usagers de la section située au nord de la barrière de Saugnacq et Muret circulent également gratuitement ce qui exempte de péage la totalité du flux entre Bordeaux et Mont de Marsan. Des dispositions spécifiques restaient donc possibles, selon les contextes, même après interdiction de l’adossement. </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 xml:space="preserve">Il semble même qu’une exception à l’interdiction de l’adossement ait encore été accordée très récemment, à Montpellier. En effet, un décret du 28 janvier 2022 a approuvé un avenant à la convention passée entre l’Etat et la société ASF pour la concession de la construction, de l’entretien et de l’exploitation d’autoroutes pour permettre l’aménagement du Contournement Ouest de Montpellier (« COM »), projet d’infrastructure routière dont la réalisation est envisagée depuis près de trente ans. Concrètement, l’aménagement revient à réaliser la rocade ouest de Montpellier : le COM comprend, entre ses deux extrémités, trois diffuseurs ou demi-diffuseurs, desservant des zones urbaines ou péri-urbaines de l’ouest de Montpellier. En somme, il s’agit d’un ouvrage dont l’utilité est essentiellement locale. Ce qui est encore possible à Montpellier serait donc interdit à Bordeaux au nom de quelle égalité ? </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 xml:space="preserve">Le dossier de concertation montre bien que le contexte de l’A63 est bien spécifique. C’est un maillon important d’un itinéraire international majeur appelé Arc Atlantique qui assure les échanges entre la péninsule ibérique et le reste de l’Europe par la façade ouest. La proportion du trafic PL y est considérable et l’augmentation de ce trafic a été particulièrement marquée au cours de la dernière décennie. Il ne serait évidemment pas objectif de dire que la transformation de la RN10 en autoroute et sa mise à 2x3 voies ont été à l’origine de cette évolution bien plus rapide que sur la moyenne des autoroutes françaises. Le phénomène s’observe également sur l’itinéraire France Espagne sur la façade Est. Mais il est certain que les aménagements réalisés ont favorisé le développement du transport routier sur cet axe. Dans le même temps, la part du rail dans le transport de marchandises s’est réduite de façon beaucoup plus marquée que sur d’autres liaisons internationales. Il est évident que le développement des infrastructures autoroutières a renforcé l’attractivité du mode routier et rendu les alternatives ferrées et maritimes moins compétitives. Le trafic de véhicules légers a fortement progressé également mais cela n’est sensible que sur les sections de l’A63 les plus proches de l’agglomération bordelaise. En outre, l’encombrement généré dans la circulation par un PL est entre 3 et 5 fois supérieur à celui d’un VL. C’est ce qui produit l’impression qu’il y a sur certaines sections plus de poids lourds que de véhicules légers même si leur taux reste inférieur à 30%. Aux heures de pointe, lorsque l’autoroute est saturée à l’approche de Bordeaux, tout le monde a pu observer une file de droite pratiquement utilisée par les seuls PL. </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Le constat s’impose : l’importance du trafic poids lourds et sa forte évolution sont les principales causes des difficultés de circulation sur l’A63 en approche de l’agglomération bordelaise. C’est ce qui justifie le refus fortement exprimé par les usagers locaux de devoir acquitter un péage pour financer des aménagements destinés à réduire l’impact du trafic poids lourds international.</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Ce contexte particulier justifie le recours, par exception, au système d’adossement. Une extension de la concession Atlandes permettrait de faire financer les travaux entre Salles et Bordeaux par les usagers empruntant l’A63 sur de longues distances en répartissant l’impact sur les différentes barrières de péage et en faisant porter l’essentiel de l’effort supplémentaire sur le trafic PL de façon à réduire l’avantage économique du fret routier par rapport aux autres alternatives et à intégrer une compensation au titre de son impact écologique (ce que devait produire l’écotaxe). Au titre de l’égalité devant le péage, il pourrait être envisagé d’installer une barrière nouvelle entre les échangeurs 21 et 22 mais les déplacements locaux (entre l’échangeur 22 et la rocade) devraient rester gratuits.</w:t>
      </w:r>
    </w:p>
    <w:p>
      <w:pPr>
        <w:rPr>
          <w:rFonts w:hint="default" w:ascii="Arial" w:hAnsi="Arial" w:eastAsia="SimSun" w:cs="Arial"/>
          <w:sz w:val="24"/>
          <w:szCs w:val="24"/>
          <w:lang w:val="fr-FR"/>
        </w:rPr>
      </w:pPr>
    </w:p>
    <w:p>
      <w:pPr>
        <w:rPr>
          <w:rFonts w:hint="default" w:ascii="Arial" w:hAnsi="Arial" w:eastAsia="SimSun" w:cs="Arial"/>
          <w:sz w:val="24"/>
          <w:szCs w:val="24"/>
          <w:lang w:val="fr-FR"/>
        </w:rPr>
      </w:pPr>
      <w:r>
        <w:rPr>
          <w:rFonts w:hint="default" w:ascii="Arial" w:hAnsi="Arial" w:eastAsia="SimSun" w:cs="Arial"/>
          <w:sz w:val="24"/>
          <w:szCs w:val="24"/>
          <w:lang w:val="fr-FR"/>
        </w:rPr>
        <w:t>Rappelons qu’au début de la concession de l’A63 à Atlandes, il y a eu versement à l’Etat en août 2011 d’un droit d’entrée de 400 millions d’euros correspondant à la reprise de l’infrastructure existante (cf site Atlandes). La reprise par le concessionnaire de l’existant entre Salles et Bordeaux devrait représenter une somme suffisante pour valoir compensation du maintien de la gratuité entre Bordeaux et Arcachon.</w:t>
      </w:r>
    </w:p>
    <w:p>
      <w:pPr>
        <w:rPr>
          <w:rFonts w:hint="default" w:ascii="Arial" w:hAnsi="Arial" w:eastAsia="SimSun" w:cs="Arial"/>
          <w:sz w:val="24"/>
          <w:szCs w:val="24"/>
          <w:lang w:val="fr-FR"/>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54981"/>
    <w:rsid w:val="05B9763C"/>
    <w:rsid w:val="135A7D87"/>
    <w:rsid w:val="28BE4F0B"/>
    <w:rsid w:val="3B103CEC"/>
    <w:rsid w:val="5FA54981"/>
    <w:rsid w:val="7D1C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Office_11.2.0.11498_F1E327BC-269C-435d-A152-05C5408002CA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2023-02-28T17:23:00Z</dcterms:created>
  <dc:creator>Joel</dc:creator>
  <cp:lastModifiedBy>Joel</cp:lastModifiedBy>
  <dcterms:modified xsi:type="dcterms:W3CDTF">2023-03-02T13:13:37Z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1036-11.2.0.11498</vt:lpwstr>
  </property>
  <property fmtid="{D5CDD505-2E9C-101B-9397-08002B2CF9AE}" pid="3" name="ICV">
    <vt:lpwstr>55875EB14B3243E8AA4BF098DAFB9F9B</vt:lpwstr>
  </property>
</Properties>
</file>